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 w:right="0" w:hanging="10"/>
        <w:rPr/>
      </w:pPr>
      <w:bookmarkStart w:colFirst="0" w:colLast="0" w:name="_n7bfudwq4b30" w:id="0"/>
      <w:bookmarkEnd w:id="0"/>
      <w:r w:rsidDel="00000000" w:rsidR="00000000" w:rsidRPr="00000000">
        <w:rPr>
          <w:b w:val="1"/>
          <w:bCs w:val="1"/>
          <w:rtl w:val="0"/>
        </w:rPr>
        <w:t>FRANCESCO DEFILIPPIS is Professor of Architectural and Urban Design at the Polytechnic University of Bari. He is a member of the doctoral boards of the PhD programmes in “Knowledge and Innovation in Design for Heritage” and “Mediterranean Archaeological, Historical, Architectural and Landscape Heritage”, and is the scientific coordinator of the “Design for Heritage” research group (www.designforheritage.com).</w:t>
      </w:r>
      <w:r w:rsidDel="00000000" w:rsidR="00000000" w:rsidRPr="00000000">
        <w:rPr>
          <w:rtl w:val="0"/>
        </w:rPr>
      </w:r>
    </w:p>
    <w:p w:rsidR="00000000" w:rsidDel="00000000" w:rsidP="00000000" w:rsidRDefault="00000000" w:rsidRPr="00000000" w14:paraId="00000002">
      <w:pPr>
        <w:ind w:left="-5" w:right="0" w:hanging="10"/>
        <w:rPr/>
      </w:pPr>
      <w:r w:rsidDel="00000000" w:rsidR="00000000" w:rsidRPr="00000000">
        <w:rPr>
          <w:rtl w:val="0"/>
        </w:rPr>
        <w:t>He has delivered lectures and presentations as an invited speaker at Italian and international universities, including those of Barcelona, Coimbra, Madrid, Seville, Granada, Podgorica, Sarajevo, Tirana, Aachen, Brussels and Ribeirão Preto (São Paulo, Brazil). As a member of scientific or organising committees, he has organised and participated in numerous architectural exhibitions, workshops and summer schools in Italy and abroad. In particular, he contributed to the exhibition “Cities of Stone”, part of the 10th International Architecture Exhibition of the Venice Biennale (2006), and organised the international workshops “Re-build Urban Form” (Monopoli, 2014) and “Pol_IBA – Italo Balkan Architecture” (Bari, 2016–2018), as well as the International Summer School “Project Over de Ring” (Brussels, 2018). More recently, together with Carlo Moccia, he served as scientific coordinator of the “Margini” section of the BiARCH_Bari International Archifestival, comprising exhibitions, conferences and workshops (3–20 September 2021), and of the architecture festival “Stone Landscapes. New Stories for Mediterranean Quarries” (15–30 April 2023), for which he conceived and acted as scientific director of the events held abroad (Tirana, Podgorica, Valladolid and Granada). His scientific research, conducted through departmental, national and international research projects, and his design research, developed through the organisation of and participation in design workshops, summer schools and competitions, are documented in his numerous publications and disseminated through participation in national and international conferences and architectural exhibitions.</w:t>
      </w:r>
    </w:p>
    <w:p w:rsidR="00000000" w:rsidDel="00000000" w:rsidP="00000000" w:rsidRDefault="00000000" w:rsidRPr="00000000" w14:paraId="00000003">
      <w:pPr>
        <w:ind w:left="-5" w:right="0" w:hanging="10"/>
        <w:rPr/>
      </w:pPr>
      <w:r w:rsidDel="00000000" w:rsidR="00000000" w:rsidRPr="00000000">
        <w:rPr>
          <w:rtl w:val="0"/>
        </w:rPr>
        <w:t>His scholarly publications include the monographs Architettura e Stereotomia (Rome, 2012), Lo spazio domestico nel moderno (Florence, 2012), Architettura e Natura (Florence, 2017) and Il progetto come trasformazione (Florence, 2020).</w:t>
      </w:r>
      <w:r w:rsidDel="00000000" w:rsidR="00000000" w:rsidRPr="00000000">
        <w:rPr>
          <w:i w:val="1"/>
          <w:iCs w:val="1"/>
          <w:rtl w:val="0"/>
        </w:rPr>
      </w:r>
      <w:r w:rsidDel="00000000" w:rsidR="00000000" w:rsidRPr="00000000">
        <w:rPr>
          <w:rtl w:val="0"/>
        </w:rPr>
      </w:r>
      <w:r w:rsidDel="00000000" w:rsidR="00000000" w:rsidRPr="00000000">
        <w:rPr>
          <w:i w:val="1"/>
          <w:iCs w:val="1"/>
          <w:rtl w:val="0"/>
        </w:rPr>
      </w:r>
      <w:r w:rsidDel="00000000" w:rsidR="00000000" w:rsidRPr="00000000">
        <w:rPr>
          <w:rtl w:val="0"/>
        </w:rPr>
      </w:r>
      <w:r w:rsidDel="00000000" w:rsidR="00000000" w:rsidRPr="00000000">
        <w:rPr>
          <w:i w:val="1"/>
          <w:iCs w:val="1"/>
          <w:rtl w:val="0"/>
        </w:rPr>
      </w:r>
      <w:r w:rsidDel="00000000" w:rsidR="00000000" w:rsidRPr="00000000">
        <w:rPr>
          <w:rtl w:val="0"/>
        </w:rPr>
      </w:r>
      <w:r w:rsidDel="00000000" w:rsidR="00000000" w:rsidRPr="00000000">
        <w:rPr>
          <w:i w:val="1"/>
          <w:iCs w:val="1"/>
          <w:rtl w:val="0"/>
        </w:rPr>
      </w:r>
      <w:r w:rsidDel="00000000" w:rsidR="00000000" w:rsidRPr="00000000">
        <w:rPr>
          <w:rtl w:val="0"/>
        </w:rPr>
      </w:r>
    </w:p>
    <w:p w:rsidR="00000000" w:rsidDel="00000000" w:rsidP="00000000" w:rsidRDefault="00000000" w:rsidRPr="00000000" w14:paraId="00000004">
      <w:pPr>
        <w:ind w:left="-5" w:right="0" w:hanging="10"/>
        <w:rPr/>
      </w:pPr>
      <w:r w:rsidDel="00000000" w:rsidR="00000000" w:rsidRPr="00000000">
        <w:rPr>
          <w:rtl w:val="0"/>
        </w:rPr>
        <w:t>His theoretical research focuses on the following interrelated themes:</w:t>
      </w:r>
    </w:p>
    <w:p w:rsidR="00000000" w:rsidDel="00000000" w:rsidP="00000000" w:rsidRDefault="00000000" w:rsidRPr="00000000" w14:paraId="00000005">
      <w:pPr>
        <w:ind w:left="-5" w:right="0" w:hanging="10"/>
        <w:rPr/>
      </w:pPr>
      <w:r w:rsidDel="00000000" w:rsidR="00000000" w:rsidRPr="00000000">
        <w:rPr>
          <w:rtl w:val="0"/>
        </w:rPr>
        <w:t>– the relationship between building typology and architecture, focusing on new forms of dwelling (co-living; living-working);</w:t>
      </w:r>
    </w:p>
    <w:p w:rsidR="00000000" w:rsidDel="00000000" w:rsidP="00000000" w:rsidRDefault="00000000" w:rsidRPr="00000000" w14:paraId="00000006">
      <w:pPr>
        <w:ind w:left="-5" w:right="0" w:hanging="10"/>
        <w:rPr/>
      </w:pPr>
      <w:r w:rsidDel="00000000" w:rsidR="00000000" w:rsidRPr="00000000">
        <w:rPr>
          <w:rtl w:val="0"/>
        </w:rPr>
        <w:t>– the relationship between construction and architecture, focusing on measures to mitigate seismic and hydrogeological risks, seeking to reconcile safety and identity;</w:t>
      </w:r>
    </w:p>
    <w:p w:rsidR="00000000" w:rsidDel="00000000" w:rsidP="00000000" w:rsidRDefault="00000000" w:rsidRPr="00000000" w14:paraId="00000007">
      <w:pPr>
        <w:ind w:left="-5" w:right="0" w:hanging="10"/>
        <w:rPr/>
      </w:pPr>
      <w:r w:rsidDel="00000000" w:rsidR="00000000" w:rsidRPr="00000000">
        <w:rPr>
          <w:rtl w:val="0"/>
        </w:rPr>
        <w:t>– the relationship between city and nature, focusing on the form and space of urban peripheries and coastal landscapes;</w:t>
        <w:br/>
        <w:t>– the relationship between the “new” and the “old”, focusing on the reconstruction of abandoned towns and the redefinition and enhancement of archaeological sites.</w:t>
      </w:r>
    </w:p>
    <w:p w:rsidR="00000000" w:rsidDel="00000000" w:rsidP="00000000" w:rsidRDefault="00000000" w:rsidRPr="00000000" w14:paraId="00000008">
      <w:pPr>
        <w:ind w:left="-5" w:right="0" w:hanging="10"/>
        <w:rPr/>
      </w:pPr>
      <w:r w:rsidDel="00000000" w:rsidR="00000000" w:rsidRPr="00000000">
        <w:rPr>
          <w:rtl w:val="0"/>
        </w:rPr>
        <w:t>In his work, each of these themes is explored and developed in relation to the case studies considered and the opportunities offered by teaching, research, third-mission activities and design experimentation.</w:t>
      </w:r>
    </w:p>
    <w:sectPr>
      <w:pgSz w:h="16838" w:w="11906" w:orient="portrait"/>
      <w:pgMar w:bottom="1440" w:top="1440" w:left="1133" w:right="112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spacing w:after="2" w:line="261" w:lineRule="auto"/>
        <w:ind w:left="10" w:right="4"/>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